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256E" w:rsidTr="008B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D256E" w:rsidRPr="00736218" w:rsidRDefault="00C321B0" w:rsidP="003D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Confidentiality of Information- General Provisions</w:t>
            </w:r>
          </w:p>
        </w:tc>
      </w:tr>
      <w:tr w:rsidR="00736218" w:rsidTr="008B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36218" w:rsidRDefault="003D256E" w:rsidP="00AF3240">
            <w:r w:rsidRPr="003D256E">
              <w:t>Georgia Rule 1.6</w:t>
            </w:r>
            <w:r w:rsidR="00AF3240">
              <w:t xml:space="preserve"> (as amended Nov 2011)</w:t>
            </w:r>
          </w:p>
        </w:tc>
        <w:tc>
          <w:tcPr>
            <w:tcW w:w="4788" w:type="dxa"/>
          </w:tcPr>
          <w:p w:rsidR="00736218" w:rsidRPr="003D256E" w:rsidRDefault="003D256E" w:rsidP="00736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256E">
              <w:rPr>
                <w:b/>
              </w:rPr>
              <w:t>Model Rule 1.6</w:t>
            </w:r>
            <w:r w:rsidR="00AF3240">
              <w:rPr>
                <w:b/>
              </w:rPr>
              <w:t xml:space="preserve"> (as amended through 2003)</w:t>
            </w:r>
          </w:p>
        </w:tc>
      </w:tr>
      <w:tr w:rsidR="00736218" w:rsidTr="008B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B2D3D" w:rsidRPr="003D256E" w:rsidRDefault="00166124" w:rsidP="00736218">
            <w:pPr>
              <w:rPr>
                <w:b w:val="0"/>
              </w:rPr>
            </w:pPr>
            <w:r w:rsidRPr="00166124">
              <w:rPr>
                <w:b w:val="0"/>
                <w:bCs w:val="0"/>
              </w:rPr>
              <w:t>(a</w:t>
            </w:r>
            <w:r w:rsidRPr="00166124">
              <w:rPr>
                <w:b w:val="0"/>
              </w:rPr>
              <w:t xml:space="preserve">) </w:t>
            </w:r>
            <w:r w:rsidR="002A3560">
              <w:rPr>
                <w:b w:val="0"/>
              </w:rPr>
              <w:t>A l</w:t>
            </w:r>
            <w:r w:rsidR="003D256E" w:rsidRPr="00166124">
              <w:rPr>
                <w:b w:val="0"/>
              </w:rPr>
              <w:t xml:space="preserve">awyer shall maintain in confidence all information gained in the professional relationship with </w:t>
            </w:r>
            <w:r w:rsidR="002A3560">
              <w:rPr>
                <w:b w:val="0"/>
              </w:rPr>
              <w:t>a</w:t>
            </w:r>
            <w:r w:rsidR="003D256E" w:rsidRPr="00166124">
              <w:rPr>
                <w:b w:val="0"/>
              </w:rPr>
              <w:t xml:space="preserve"> client</w:t>
            </w:r>
            <w:r w:rsidR="002A3560">
              <w:rPr>
                <w:b w:val="0"/>
              </w:rPr>
              <w:t>, including i</w:t>
            </w:r>
            <w:r w:rsidR="008B2D3D">
              <w:rPr>
                <w:b w:val="0"/>
              </w:rPr>
              <w:t>nformation which the client has requested to</w:t>
            </w:r>
            <w:r w:rsidR="002A3560">
              <w:rPr>
                <w:b w:val="0"/>
              </w:rPr>
              <w:t xml:space="preserve"> be  </w:t>
            </w:r>
            <w:r w:rsidR="008B2D3D">
              <w:rPr>
                <w:b w:val="0"/>
              </w:rPr>
              <w:t>held inviolate or the disclosure of which would be embarrassing or would likely be detrimental to the client</w:t>
            </w:r>
          </w:p>
        </w:tc>
        <w:tc>
          <w:tcPr>
            <w:tcW w:w="4788" w:type="dxa"/>
          </w:tcPr>
          <w:p w:rsidR="00736218" w:rsidRPr="00166124" w:rsidRDefault="00166124" w:rsidP="00166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124">
              <w:t>(a</w:t>
            </w:r>
            <w:r>
              <w:t xml:space="preserve">) </w:t>
            </w:r>
            <w:r w:rsidR="003D256E" w:rsidRPr="00166124">
              <w:t>Lawyer shall not reveal information relating to the representation of a client</w:t>
            </w:r>
          </w:p>
        </w:tc>
      </w:tr>
    </w:tbl>
    <w:p w:rsidR="008B2D3D" w:rsidRDefault="00736218" w:rsidP="003D256E">
      <w:pPr>
        <w:pStyle w:val="Subtitle"/>
        <w:rPr>
          <w:rFonts w:eastAsia="Arial Unicode MS"/>
          <w:b/>
          <w:sz w:val="40"/>
          <w:szCs w:val="40"/>
        </w:rPr>
      </w:pPr>
      <w:r w:rsidRPr="003D256E">
        <w:rPr>
          <w:rFonts w:eastAsia="Arial Unicode MS"/>
          <w:b/>
          <w:sz w:val="40"/>
          <w:szCs w:val="40"/>
        </w:rPr>
        <w:t>1.6 Comparison Chart</w:t>
      </w:r>
      <w:r w:rsidR="00AF3240">
        <w:rPr>
          <w:rFonts w:eastAsia="Arial Unicode MS"/>
          <w:b/>
          <w:sz w:val="40"/>
          <w:szCs w:val="40"/>
        </w:rPr>
        <w:t xml:space="preserve"> (May 1, 2012)</w:t>
      </w:r>
      <w:r w:rsidR="00C852B3">
        <w:rPr>
          <w:rFonts w:eastAsia="Arial Unicode MS"/>
          <w:b/>
          <w:sz w:val="40"/>
          <w:szCs w:val="40"/>
        </w:rPr>
        <w:t xml:space="preserve"> 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2D3D" w:rsidTr="00885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B2D3D" w:rsidRPr="008B2D3D" w:rsidRDefault="008B2D3D" w:rsidP="008B2D3D">
            <w:pPr>
              <w:jc w:val="center"/>
              <w:rPr>
                <w:sz w:val="24"/>
                <w:szCs w:val="24"/>
              </w:rPr>
            </w:pPr>
            <w:r w:rsidRPr="008B2D3D">
              <w:rPr>
                <w:sz w:val="24"/>
                <w:szCs w:val="24"/>
              </w:rPr>
              <w:t>Exceptions</w:t>
            </w:r>
          </w:p>
        </w:tc>
      </w:tr>
      <w:tr w:rsidR="008B2D3D" w:rsidTr="008B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B2D3D" w:rsidRDefault="008B2D3D" w:rsidP="008B2D3D">
            <w:r>
              <w:t>Georgia Rule 1.6</w:t>
            </w:r>
          </w:p>
        </w:tc>
        <w:tc>
          <w:tcPr>
            <w:tcW w:w="4788" w:type="dxa"/>
          </w:tcPr>
          <w:p w:rsidR="008B2D3D" w:rsidRPr="008B2D3D" w:rsidRDefault="008B2D3D" w:rsidP="008B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2D3D">
              <w:rPr>
                <w:b/>
              </w:rPr>
              <w:t>Model Rule 1.6</w:t>
            </w:r>
          </w:p>
        </w:tc>
      </w:tr>
      <w:tr w:rsidR="008B2D3D" w:rsidTr="008B2D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</w:tcPr>
          <w:p w:rsidR="008B2D3D" w:rsidRPr="00166124" w:rsidRDefault="00166124" w:rsidP="002A3560">
            <w:pPr>
              <w:rPr>
                <w:b w:val="0"/>
              </w:rPr>
            </w:pPr>
            <w:r w:rsidRPr="00166124">
              <w:rPr>
                <w:b w:val="0"/>
                <w:bCs w:val="0"/>
              </w:rPr>
              <w:t>(a</w:t>
            </w:r>
            <w:r w:rsidRPr="00166124">
              <w:rPr>
                <w:b w:val="0"/>
              </w:rPr>
              <w:t xml:space="preserve">) </w:t>
            </w:r>
            <w:r w:rsidR="008B2D3D" w:rsidRPr="00166124">
              <w:rPr>
                <w:b w:val="0"/>
              </w:rPr>
              <w:t xml:space="preserve">The client </w:t>
            </w:r>
            <w:r w:rsidR="002A3560">
              <w:rPr>
                <w:b w:val="0"/>
              </w:rPr>
              <w:t>gives informed consent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8B2D3D" w:rsidRPr="002C2A7B" w:rsidRDefault="00166124" w:rsidP="008B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(a) </w:t>
            </w:r>
            <w:r w:rsidR="002C2A7B">
              <w:t>The client gives informed consent</w:t>
            </w:r>
          </w:p>
        </w:tc>
      </w:tr>
      <w:tr w:rsidR="008B2D3D" w:rsidTr="008B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D3D" w:rsidRDefault="0035580F" w:rsidP="008B2D3D">
            <w:pPr>
              <w:rPr>
                <w:b w:val="0"/>
              </w:rPr>
            </w:pPr>
            <w:r>
              <w:rPr>
                <w:b w:val="0"/>
              </w:rPr>
              <w:t xml:space="preserve">(a) </w:t>
            </w:r>
            <w:r w:rsidR="008B2D3D" w:rsidRPr="008B2D3D">
              <w:rPr>
                <w:b w:val="0"/>
              </w:rPr>
              <w:t xml:space="preserve">Disclosures that are impliedly authorized </w:t>
            </w:r>
            <w:r w:rsidR="002A3560">
              <w:rPr>
                <w:b w:val="0"/>
              </w:rPr>
              <w:t xml:space="preserve">in order </w:t>
            </w:r>
            <w:r w:rsidR="008B2D3D" w:rsidRPr="008B2D3D">
              <w:rPr>
                <w:b w:val="0"/>
              </w:rPr>
              <w:t>to carry out the representation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D3D" w:rsidRPr="00166124" w:rsidRDefault="0035580F" w:rsidP="008B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5580F">
              <w:t>(a)</w:t>
            </w:r>
            <w:r>
              <w:t xml:space="preserve"> </w:t>
            </w:r>
            <w:r w:rsidR="00FE595F" w:rsidRPr="00166124">
              <w:rPr>
                <w:i/>
              </w:rPr>
              <w:t>Identical</w:t>
            </w:r>
          </w:p>
        </w:tc>
      </w:tr>
      <w:tr w:rsidR="002C2A7B" w:rsidTr="002C2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A7B" w:rsidRDefault="00F70A27" w:rsidP="008B2D3D">
            <w:pPr>
              <w:rPr>
                <w:b w:val="0"/>
              </w:rPr>
            </w:pPr>
            <w:r>
              <w:rPr>
                <w:b w:val="0"/>
              </w:rPr>
              <w:t xml:space="preserve">(a) </w:t>
            </w:r>
            <w:r w:rsidR="002C2A7B">
              <w:rPr>
                <w:b w:val="0"/>
              </w:rPr>
              <w:t xml:space="preserve">Disclosures that are </w:t>
            </w:r>
            <w:r w:rsidR="002C2A7B" w:rsidRPr="002C2A7B">
              <w:rPr>
                <w:b w:val="0"/>
                <w:i/>
              </w:rPr>
              <w:t xml:space="preserve">required </w:t>
            </w:r>
            <w:r w:rsidR="002A3560">
              <w:rPr>
                <w:b w:val="0"/>
              </w:rPr>
              <w:t>by these R</w:t>
            </w:r>
            <w:r w:rsidR="002C2A7B">
              <w:rPr>
                <w:b w:val="0"/>
              </w:rPr>
              <w:t>ules or other law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A7B" w:rsidRPr="00166124" w:rsidRDefault="00AF3240" w:rsidP="008B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See 1.6</w:t>
            </w:r>
            <w:r w:rsidR="00166124">
              <w:rPr>
                <w:i/>
              </w:rPr>
              <w:t xml:space="preserve"> </w:t>
            </w:r>
            <w:r>
              <w:t xml:space="preserve">(b)(6) </w:t>
            </w:r>
            <w:r w:rsidRPr="004E067D">
              <w:t>To comply with other law or a court order</w:t>
            </w:r>
          </w:p>
        </w:tc>
      </w:tr>
      <w:tr w:rsidR="002C2A7B" w:rsidTr="002C2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A7B" w:rsidRDefault="00F70A27" w:rsidP="008B2D3D">
            <w:pPr>
              <w:rPr>
                <w:b w:val="0"/>
              </w:rPr>
            </w:pPr>
            <w:r>
              <w:rPr>
                <w:b w:val="0"/>
              </w:rPr>
              <w:t xml:space="preserve">(a) </w:t>
            </w:r>
            <w:r w:rsidR="002C2A7B">
              <w:rPr>
                <w:b w:val="0"/>
              </w:rPr>
              <w:t xml:space="preserve">Disclosures that are </w:t>
            </w:r>
            <w:r w:rsidR="002C2A7B" w:rsidRPr="002C2A7B">
              <w:rPr>
                <w:b w:val="0"/>
                <w:i/>
              </w:rPr>
              <w:t>required</w:t>
            </w:r>
            <w:r w:rsidR="002C2A7B">
              <w:rPr>
                <w:b w:val="0"/>
              </w:rPr>
              <w:t xml:space="preserve"> by order of the Court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2A7B" w:rsidRPr="00166124" w:rsidRDefault="00AF3240" w:rsidP="008B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See 1.6 </w:t>
            </w:r>
            <w:r>
              <w:t xml:space="preserve">(b)(6) </w:t>
            </w:r>
            <w:r w:rsidRPr="004E067D">
              <w:t>To comply with other law or a court order</w:t>
            </w:r>
          </w:p>
        </w:tc>
      </w:tr>
      <w:tr w:rsidR="00456AE9" w:rsidTr="002C2A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6AE9" w:rsidRDefault="00456AE9" w:rsidP="008B2D3D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6AE9" w:rsidRPr="00166124" w:rsidRDefault="00456AE9" w:rsidP="008B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B2D3D" w:rsidTr="008B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560" w:rsidRDefault="00F70A27" w:rsidP="008B2D3D">
            <w:r>
              <w:t xml:space="preserve">(b)(1) </w:t>
            </w:r>
            <w:r w:rsidR="002A3560">
              <w:t>A l</w:t>
            </w:r>
            <w:r w:rsidR="002C2A7B" w:rsidRPr="002C2A7B">
              <w:t xml:space="preserve">awyer may reveal confidential information which the lawyer </w:t>
            </w:r>
            <w:r w:rsidR="002A3560">
              <w:t xml:space="preserve">reasonably </w:t>
            </w:r>
          </w:p>
          <w:p w:rsidR="008B2D3D" w:rsidRPr="002C2A7B" w:rsidRDefault="002A3560" w:rsidP="008B2D3D">
            <w:r>
              <w:t xml:space="preserve">believes </w:t>
            </w:r>
            <w:r w:rsidR="002C2A7B" w:rsidRPr="002C2A7B">
              <w:t>necessary: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D3D" w:rsidRPr="008B2D3D" w:rsidRDefault="00F70A27" w:rsidP="008B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(b) </w:t>
            </w:r>
            <w:r w:rsidR="002C2A7B">
              <w:rPr>
                <w:b/>
              </w:rPr>
              <w:t>Lawyer may reveal information relating to the representation of a client  to the extent the lawy</w:t>
            </w:r>
            <w:r w:rsidR="00456AE9">
              <w:rPr>
                <w:b/>
              </w:rPr>
              <w:t xml:space="preserve">er reasonably believes is necessary: </w:t>
            </w:r>
          </w:p>
        </w:tc>
      </w:tr>
      <w:tr w:rsidR="004E067D" w:rsidTr="008857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 w:val="restart"/>
            <w:shd w:val="clear" w:color="auto" w:fill="FFFFFF" w:themeFill="background1"/>
          </w:tcPr>
          <w:p w:rsidR="0088576C" w:rsidRPr="007E1A06" w:rsidRDefault="0088576C" w:rsidP="0088576C">
            <w:pPr>
              <w:pStyle w:val="ListParagraph"/>
            </w:pPr>
            <w:r w:rsidRPr="007E1A06">
              <w:t>Harm element:</w:t>
            </w:r>
          </w:p>
          <w:p w:rsidR="0088576C" w:rsidRDefault="00F70A27" w:rsidP="002C2A7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(b)(1)(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>)</w:t>
            </w:r>
            <w:r w:rsidR="002B5718">
              <w:rPr>
                <w:b w:val="0"/>
              </w:rPr>
              <w:t xml:space="preserve">To avoid or prevent </w:t>
            </w:r>
            <w:r w:rsidR="004E067D" w:rsidRPr="002C2A7B">
              <w:rPr>
                <w:b w:val="0"/>
              </w:rPr>
              <w:t>harm or substantial financial loss to another</w:t>
            </w:r>
            <w:r w:rsidR="003764A6">
              <w:rPr>
                <w:b w:val="0"/>
              </w:rPr>
              <w:br/>
            </w:r>
          </w:p>
          <w:p w:rsidR="0088576C" w:rsidRPr="007E1A06" w:rsidRDefault="007E1A06" w:rsidP="007E1A06">
            <w:pPr>
              <w:pStyle w:val="ListParagraph"/>
            </w:pPr>
            <w:r w:rsidRPr="007E1A06">
              <w:t>Causation element:</w:t>
            </w:r>
          </w:p>
          <w:p w:rsidR="004E067D" w:rsidRPr="00C852B3" w:rsidRDefault="004E067D" w:rsidP="002C2A7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C852B3">
              <w:rPr>
                <w:b w:val="0"/>
              </w:rPr>
              <w:t xml:space="preserve"> as a result of client criminal conduct or third party criminal conduct clearly in violation of the law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64A6" w:rsidRDefault="003764A6" w:rsidP="003764A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4A6">
              <w:rPr>
                <w:b/>
              </w:rPr>
              <w:t>Harm element:</w:t>
            </w:r>
            <w:r w:rsidRPr="003764A6">
              <w:br/>
            </w:r>
            <w:r>
              <w:t>(b)(2/3)</w:t>
            </w:r>
            <w:r w:rsidR="00F70A27" w:rsidRPr="003764A6">
              <w:t xml:space="preserve"> </w:t>
            </w:r>
            <w:r w:rsidR="002B5718" w:rsidRPr="003764A6">
              <w:t xml:space="preserve">To prevent </w:t>
            </w:r>
            <w:r>
              <w:t xml:space="preserve">, mitigate or rectify … </w:t>
            </w:r>
            <w:r w:rsidR="002B5718" w:rsidRPr="003764A6">
              <w:t xml:space="preserve">substantial injury to the financial interests or property of another </w:t>
            </w:r>
          </w:p>
          <w:p w:rsidR="003764A6" w:rsidRPr="003764A6" w:rsidRDefault="003764A6" w:rsidP="003764A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4A6">
              <w:rPr>
                <w:b/>
              </w:rPr>
              <w:t>Causation element:</w:t>
            </w:r>
          </w:p>
          <w:p w:rsidR="003764A6" w:rsidRDefault="003764A6" w:rsidP="003764A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(b)(2)To prevent … </w:t>
            </w:r>
            <w:r w:rsidRPr="003764A6">
              <w:t xml:space="preserve">the client from committing a crime or fraud </w:t>
            </w:r>
            <w:r>
              <w:t xml:space="preserve">that is reasonably certain to result in </w:t>
            </w:r>
            <w:r w:rsidR="003D60E9">
              <w:t>…</w:t>
            </w:r>
          </w:p>
          <w:p w:rsidR="003764A6" w:rsidRPr="003764A6" w:rsidRDefault="003764A6" w:rsidP="003764A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4A6">
              <w:t>(b)(3) … has resulted from the client’s commission of a crime or fraud</w:t>
            </w:r>
          </w:p>
          <w:p w:rsidR="004E067D" w:rsidRPr="003764A6" w:rsidRDefault="004E067D" w:rsidP="003764A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67D" w:rsidTr="008B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067D" w:rsidRPr="002C2A7B" w:rsidRDefault="004E067D" w:rsidP="004E067D">
            <w:pPr>
              <w:pStyle w:val="ListParagraph"/>
              <w:rPr>
                <w:b w:val="0"/>
                <w:bCs w:val="0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067D" w:rsidRPr="00456AE9" w:rsidRDefault="003764A6" w:rsidP="003764A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4A6">
              <w:rPr>
                <w:b/>
              </w:rPr>
              <w:t>Additional element</w:t>
            </w:r>
            <w:r>
              <w:br/>
            </w:r>
            <w:r w:rsidRPr="003764A6">
              <w:t>and in furtherance of which the client has used or is using the lawyer’s services</w:t>
            </w:r>
          </w:p>
        </w:tc>
      </w:tr>
      <w:tr w:rsidR="008B2D3D" w:rsidTr="008B2D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D3D" w:rsidRPr="002C2A7B" w:rsidRDefault="00F70A27" w:rsidP="002C2A7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(b)(1)(ii) </w:t>
            </w:r>
            <w:r w:rsidR="002C2A7B" w:rsidRPr="002C2A7B">
              <w:rPr>
                <w:b w:val="0"/>
              </w:rPr>
              <w:t>To prevent serious injury or death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D3D" w:rsidRPr="00456AE9" w:rsidRDefault="00F70A27" w:rsidP="00456AE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(b)(1) </w:t>
            </w:r>
            <w:r w:rsidR="00456AE9" w:rsidRPr="00456AE9">
              <w:t xml:space="preserve">To prevent </w:t>
            </w:r>
            <w:r w:rsidR="00456AE9" w:rsidRPr="00456AE9">
              <w:rPr>
                <w:i/>
              </w:rPr>
              <w:t>reasonably certain</w:t>
            </w:r>
            <w:r w:rsidR="00456AE9" w:rsidRPr="00456AE9">
              <w:t xml:space="preserve"> death or </w:t>
            </w:r>
            <w:r w:rsidR="00FE5B50">
              <w:t>substantial</w:t>
            </w:r>
            <w:r w:rsidR="00456AE9">
              <w:rPr>
                <w:i/>
              </w:rPr>
              <w:t xml:space="preserve"> </w:t>
            </w:r>
            <w:r w:rsidR="00456AE9" w:rsidRPr="00456AE9">
              <w:t>bodily harm</w:t>
            </w:r>
          </w:p>
        </w:tc>
      </w:tr>
    </w:tbl>
    <w:p w:rsidR="00EA1F28" w:rsidRDefault="00EA1F28">
      <w:r>
        <w:rPr>
          <w:b/>
          <w:bCs/>
        </w:rPr>
        <w:br w:type="page"/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2D3D" w:rsidTr="008B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D3D" w:rsidRPr="002C2A7B" w:rsidRDefault="00F70A27" w:rsidP="002C2A7B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(b)(1)(iii) </w:t>
            </w:r>
            <w:r w:rsidR="002C2A7B" w:rsidRPr="002C2A7B">
              <w:rPr>
                <w:b w:val="0"/>
              </w:rPr>
              <w:t xml:space="preserve">To establish a claim or defense on behalf of the lawyer in a controversy between the lawyer and the client, to establish a defense to a criminal charge </w:t>
            </w:r>
            <w:r w:rsidR="002C2A7B">
              <w:rPr>
                <w:b w:val="0"/>
              </w:rPr>
              <w:t>or civil claim against the lawyer based upon conduct in which the client was involved, or to respond to allegation</w:t>
            </w:r>
            <w:r w:rsidR="002A3560">
              <w:rPr>
                <w:b w:val="0"/>
              </w:rPr>
              <w:t>s</w:t>
            </w:r>
            <w:r w:rsidR="002C2A7B">
              <w:rPr>
                <w:b w:val="0"/>
              </w:rPr>
              <w:t xml:space="preserve"> in any proceeding concerning the lawyer</w:t>
            </w:r>
            <w:r w:rsidR="002A3560">
              <w:rPr>
                <w:b w:val="0"/>
              </w:rPr>
              <w:t>’</w:t>
            </w:r>
            <w:r w:rsidR="002C2A7B">
              <w:rPr>
                <w:b w:val="0"/>
              </w:rPr>
              <w:t>s representation of the client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D3D" w:rsidRPr="00055F5C" w:rsidRDefault="00F70A27" w:rsidP="004E067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55F5C">
              <w:rPr>
                <w:b w:val="0"/>
              </w:rPr>
              <w:t>(b)(5)</w:t>
            </w:r>
            <w:r w:rsidRPr="00055F5C">
              <w:rPr>
                <w:b w:val="0"/>
                <w:i/>
              </w:rPr>
              <w:t xml:space="preserve"> </w:t>
            </w:r>
            <w:r w:rsidR="00FE595F" w:rsidRPr="00055F5C">
              <w:rPr>
                <w:b w:val="0"/>
                <w:i/>
              </w:rPr>
              <w:t>Identical</w:t>
            </w:r>
          </w:p>
        </w:tc>
      </w:tr>
      <w:tr w:rsidR="008B2D3D" w:rsidTr="008B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D3D" w:rsidRPr="002A3560" w:rsidRDefault="002A3560" w:rsidP="002A3560">
            <w:pPr>
              <w:pStyle w:val="ListParagraph"/>
              <w:numPr>
                <w:ilvl w:val="0"/>
                <w:numId w:val="2"/>
              </w:numPr>
              <w:rPr>
                <w:b w:val="0"/>
                <w:i/>
              </w:rPr>
            </w:pPr>
            <w:r w:rsidRPr="002A3560">
              <w:rPr>
                <w:b w:val="0"/>
              </w:rPr>
              <w:t>(b)(1)(iv)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to</w:t>
            </w:r>
            <w:proofErr w:type="gramEnd"/>
            <w:r>
              <w:rPr>
                <w:b w:val="0"/>
              </w:rPr>
              <w:t xml:space="preserve"> secure legal advice about the lawyer’s compliance with these Rules (</w:t>
            </w:r>
            <w:r w:rsidRPr="003D60E9">
              <w:rPr>
                <w:b w:val="0"/>
                <w:i/>
              </w:rPr>
              <w:t>identical</w:t>
            </w:r>
            <w:r>
              <w:rPr>
                <w:b w:val="0"/>
              </w:rPr>
              <w:t>).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D3D" w:rsidRPr="004E067D" w:rsidRDefault="00F70A27" w:rsidP="00055F5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(b)(4)</w:t>
            </w:r>
            <w:r w:rsidRPr="00055F5C">
              <w:rPr>
                <w:i/>
              </w:rPr>
              <w:t xml:space="preserve"> </w:t>
            </w:r>
            <w:r w:rsidR="00055F5C" w:rsidRPr="00055F5C">
              <w:rPr>
                <w:i/>
              </w:rPr>
              <w:t>Identical</w:t>
            </w:r>
          </w:p>
        </w:tc>
      </w:tr>
      <w:tr w:rsidR="008B2D3D" w:rsidTr="00546F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12" w:space="0" w:color="5F497A" w:themeColor="accent4" w:themeShade="BF"/>
            </w:tcBorders>
            <w:shd w:val="clear" w:color="auto" w:fill="FFFFFF" w:themeFill="background1"/>
          </w:tcPr>
          <w:p w:rsidR="008B2D3D" w:rsidRPr="002B5718" w:rsidRDefault="00AF3240" w:rsidP="00AF324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See 1.6(a) “shall maintain in confidence … except for disclosures … required by these Rules or other law, or by order of the Court</w:t>
            </w:r>
          </w:p>
        </w:tc>
        <w:tc>
          <w:tcPr>
            <w:tcW w:w="4788" w:type="dxa"/>
            <w:tcBorders>
              <w:bottom w:val="single" w:sz="12" w:space="0" w:color="5F497A" w:themeColor="accent4" w:themeShade="BF"/>
            </w:tcBorders>
            <w:shd w:val="clear" w:color="auto" w:fill="FFFFFF" w:themeFill="background1"/>
          </w:tcPr>
          <w:p w:rsidR="008B2D3D" w:rsidRPr="004E067D" w:rsidRDefault="00F70A27" w:rsidP="004E067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(b)(6) </w:t>
            </w:r>
            <w:r w:rsidR="004E067D" w:rsidRPr="004E067D">
              <w:t>To comply with other law or a court order</w:t>
            </w:r>
          </w:p>
        </w:tc>
      </w:tr>
      <w:tr w:rsidR="007B0ECC" w:rsidTr="0054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12" w:space="0" w:color="5F497A" w:themeColor="accent4" w:themeShade="BF"/>
            </w:tcBorders>
          </w:tcPr>
          <w:p w:rsidR="007B0ECC" w:rsidRPr="007B0ECC" w:rsidRDefault="007B0ECC" w:rsidP="007B0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 to disclosure under an exception</w:t>
            </w:r>
          </w:p>
        </w:tc>
      </w:tr>
      <w:tr w:rsidR="007B0ECC" w:rsidTr="007B0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0ECC" w:rsidRDefault="007B0ECC" w:rsidP="008B2D3D">
            <w:r>
              <w:t>Georgia Rule 1.6</w:t>
            </w:r>
          </w:p>
        </w:tc>
        <w:tc>
          <w:tcPr>
            <w:tcW w:w="4788" w:type="dxa"/>
          </w:tcPr>
          <w:p w:rsidR="007B0ECC" w:rsidRPr="007B0ECC" w:rsidRDefault="007B0ECC" w:rsidP="008B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0ECC">
              <w:rPr>
                <w:b/>
              </w:rPr>
              <w:t>Model Rule 1.6</w:t>
            </w:r>
          </w:p>
        </w:tc>
      </w:tr>
      <w:tr w:rsidR="007B0ECC" w:rsidTr="007B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0ECC" w:rsidRPr="007B0ECC" w:rsidRDefault="002A3560" w:rsidP="008B2D3D">
            <w:pPr>
              <w:rPr>
                <w:b w:val="0"/>
              </w:rPr>
            </w:pPr>
            <w:r>
              <w:rPr>
                <w:b w:val="0"/>
              </w:rPr>
              <w:t>(b</w:t>
            </w:r>
            <w:r w:rsidR="00F70A27">
              <w:rPr>
                <w:b w:val="0"/>
              </w:rPr>
              <w:t>)</w:t>
            </w:r>
            <w:r>
              <w:rPr>
                <w:b w:val="0"/>
              </w:rPr>
              <w:t>(2)</w:t>
            </w:r>
            <w:r w:rsidR="00F70A27">
              <w:rPr>
                <w:b w:val="0"/>
              </w:rPr>
              <w:t xml:space="preserve"> </w:t>
            </w:r>
            <w:r w:rsidR="007B0ECC">
              <w:rPr>
                <w:b w:val="0"/>
              </w:rPr>
              <w:t>If the client has acted at the time th</w:t>
            </w:r>
            <w:r>
              <w:rPr>
                <w:b w:val="0"/>
              </w:rPr>
              <w:t>e lawyer learns of the threat of harm or loss</w:t>
            </w:r>
            <w:r w:rsidR="007B0ECC">
              <w:rPr>
                <w:b w:val="0"/>
              </w:rPr>
              <w:t xml:space="preserve"> to a victim, use or </w:t>
            </w:r>
            <w:r>
              <w:rPr>
                <w:b w:val="0"/>
              </w:rPr>
              <w:t>disclosure is permissible only i</w:t>
            </w:r>
            <w:r w:rsidR="007B0ECC">
              <w:rPr>
                <w:b w:val="0"/>
              </w:rPr>
              <w:t xml:space="preserve">f the harm or loss has </w:t>
            </w:r>
            <w:r w:rsidR="007B0ECC" w:rsidRPr="002B5718">
              <w:rPr>
                <w:b w:val="0"/>
              </w:rPr>
              <w:t>not yet occurred</w:t>
            </w:r>
            <w:r w:rsidR="007B0ECC">
              <w:rPr>
                <w:b w:val="0"/>
              </w:rPr>
              <w:t xml:space="preserve"> </w:t>
            </w:r>
          </w:p>
        </w:tc>
        <w:tc>
          <w:tcPr>
            <w:tcW w:w="4788" w:type="dxa"/>
          </w:tcPr>
          <w:p w:rsidR="007B0ECC" w:rsidRPr="002B5718" w:rsidRDefault="002B5718" w:rsidP="008B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B5718">
              <w:rPr>
                <w:i/>
              </w:rPr>
              <w:t>No comparable provision</w:t>
            </w:r>
          </w:p>
        </w:tc>
      </w:tr>
      <w:tr w:rsidR="007B0ECC" w:rsidTr="007B0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0ECC" w:rsidRPr="007B0ECC" w:rsidRDefault="00F70A27" w:rsidP="002A3560">
            <w:pPr>
              <w:rPr>
                <w:b w:val="0"/>
              </w:rPr>
            </w:pPr>
            <w:r>
              <w:rPr>
                <w:b w:val="0"/>
              </w:rPr>
              <w:t>(</w:t>
            </w:r>
            <w:r w:rsidR="002A3560">
              <w:rPr>
                <w:b w:val="0"/>
              </w:rPr>
              <w:t>b)(3)</w:t>
            </w:r>
            <w:r>
              <w:rPr>
                <w:b w:val="0"/>
              </w:rPr>
              <w:t xml:space="preserve"> </w:t>
            </w:r>
            <w:r w:rsidR="007B0ECC">
              <w:rPr>
                <w:b w:val="0"/>
              </w:rPr>
              <w:t>Before using or disclosing information</w:t>
            </w:r>
            <w:r w:rsidR="007B0ECC" w:rsidRPr="002B5718">
              <w:rPr>
                <w:b w:val="0"/>
              </w:rPr>
              <w:t xml:space="preserve">, if feasible, the lawyer must make a good faith effort to persuade the client </w:t>
            </w:r>
            <w:r w:rsidR="002A3560">
              <w:rPr>
                <w:b w:val="0"/>
              </w:rPr>
              <w:t>either not to act</w:t>
            </w:r>
            <w:r w:rsidR="007B0ECC">
              <w:rPr>
                <w:b w:val="0"/>
              </w:rPr>
              <w:t xml:space="preserve"> or</w:t>
            </w:r>
            <w:r w:rsidR="002A3560">
              <w:rPr>
                <w:b w:val="0"/>
              </w:rPr>
              <w:t>,</w:t>
            </w:r>
            <w:r w:rsidR="007B0ECC">
              <w:rPr>
                <w:b w:val="0"/>
              </w:rPr>
              <w:t xml:space="preserve"> if the client has already acted, to warn the victim</w:t>
            </w:r>
            <w:r w:rsidR="002A3560">
              <w:rPr>
                <w:b w:val="0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0ECC" w:rsidRPr="002B5718" w:rsidRDefault="002B5718" w:rsidP="008B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5718">
              <w:rPr>
                <w:i/>
              </w:rPr>
              <w:t>No comparable provision</w:t>
            </w:r>
          </w:p>
        </w:tc>
      </w:tr>
    </w:tbl>
    <w:p w:rsidR="007B0ECC" w:rsidRPr="008B2D3D" w:rsidRDefault="007B0ECC" w:rsidP="008B2D3D"/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3240" w:rsidRPr="007B0ECC" w:rsidTr="00BA2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12" w:space="0" w:color="5F497A" w:themeColor="accent4" w:themeShade="BF"/>
            </w:tcBorders>
          </w:tcPr>
          <w:p w:rsidR="00AF3240" w:rsidRPr="007B0ECC" w:rsidRDefault="00AF3240" w:rsidP="00BA2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Duty to disclose</w:t>
            </w:r>
            <w:r>
              <w:rPr>
                <w:sz w:val="24"/>
                <w:szCs w:val="24"/>
              </w:rPr>
              <w:t xml:space="preserve"> under an exception</w:t>
            </w:r>
          </w:p>
        </w:tc>
      </w:tr>
      <w:tr w:rsidR="00AF3240" w:rsidRPr="007B0ECC" w:rsidTr="00BA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F3240" w:rsidRDefault="00AF3240" w:rsidP="00BA2EB5">
            <w:r>
              <w:t>Georgia Rule 1.6</w:t>
            </w:r>
          </w:p>
        </w:tc>
        <w:tc>
          <w:tcPr>
            <w:tcW w:w="4788" w:type="dxa"/>
          </w:tcPr>
          <w:p w:rsidR="00AF3240" w:rsidRPr="007B0ECC" w:rsidRDefault="00AF3240" w:rsidP="00BA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0ECC">
              <w:rPr>
                <w:b/>
              </w:rPr>
              <w:t>Model Rule 1.6</w:t>
            </w:r>
          </w:p>
        </w:tc>
      </w:tr>
      <w:tr w:rsidR="00AF3240" w:rsidRPr="002B5718" w:rsidTr="00BA2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F3240" w:rsidRPr="007B0ECC" w:rsidRDefault="00AF3240" w:rsidP="00AF3240">
            <w:pPr>
              <w:rPr>
                <w:b w:val="0"/>
              </w:rPr>
            </w:pPr>
            <w:r>
              <w:rPr>
                <w:b w:val="0"/>
              </w:rPr>
              <w:t xml:space="preserve">(c) The lawyer </w:t>
            </w:r>
            <w:r w:rsidRPr="00AF3240">
              <w:t xml:space="preserve">shall </w:t>
            </w:r>
            <w:r>
              <w:rPr>
                <w:b w:val="0"/>
              </w:rPr>
              <w:t>reveal information under paragraph (b) as the applicable law requires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788" w:type="dxa"/>
          </w:tcPr>
          <w:p w:rsidR="00AF3240" w:rsidRPr="002B5718" w:rsidRDefault="00AF3240" w:rsidP="00BA2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5718">
              <w:rPr>
                <w:i/>
              </w:rPr>
              <w:t>No comparable provision</w:t>
            </w:r>
          </w:p>
        </w:tc>
      </w:tr>
      <w:tr w:rsidR="00AF3240" w:rsidRPr="002B5718" w:rsidTr="00BA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240" w:rsidRPr="007B0ECC" w:rsidRDefault="00AF3240" w:rsidP="00BA2EB5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240" w:rsidRPr="002B5718" w:rsidRDefault="00AF3240" w:rsidP="00BA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F3240" w:rsidRPr="007B0ECC" w:rsidTr="00BA2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12" w:space="0" w:color="5F497A" w:themeColor="accent4" w:themeShade="BF"/>
            </w:tcBorders>
          </w:tcPr>
          <w:p w:rsidR="00AF3240" w:rsidRPr="007B0ECC" w:rsidRDefault="00AF3240" w:rsidP="00BA2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 Client</w:t>
            </w:r>
          </w:p>
        </w:tc>
      </w:tr>
      <w:tr w:rsidR="00AF3240" w:rsidRPr="007B0ECC" w:rsidTr="00BA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F3240" w:rsidRDefault="00AF3240" w:rsidP="00BA2EB5">
            <w:r>
              <w:t>Georgia Rule 1.6</w:t>
            </w:r>
          </w:p>
        </w:tc>
        <w:tc>
          <w:tcPr>
            <w:tcW w:w="4788" w:type="dxa"/>
          </w:tcPr>
          <w:p w:rsidR="00AF3240" w:rsidRPr="007B0ECC" w:rsidRDefault="00AF3240" w:rsidP="00BA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0ECC">
              <w:rPr>
                <w:b/>
              </w:rPr>
              <w:t>Model Rule 1.6</w:t>
            </w:r>
          </w:p>
        </w:tc>
      </w:tr>
      <w:tr w:rsidR="00AF3240" w:rsidRPr="002B5718" w:rsidTr="00BA2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AF3240" w:rsidRPr="007B0ECC" w:rsidRDefault="00AF3240" w:rsidP="00BA2EB5">
            <w:pPr>
              <w:rPr>
                <w:b w:val="0"/>
              </w:rPr>
            </w:pPr>
            <w:r>
              <w:rPr>
                <w:b w:val="0"/>
              </w:rPr>
              <w:t xml:space="preserve">(d) duty of confidentiality </w:t>
            </w:r>
            <w:r w:rsidR="00055F5C">
              <w:rPr>
                <w:b w:val="0"/>
              </w:rPr>
              <w:t xml:space="preserve">shall continue after the client-lawyer </w:t>
            </w:r>
            <w:bookmarkStart w:id="0" w:name="_GoBack"/>
            <w:bookmarkEnd w:id="0"/>
            <w:r>
              <w:rPr>
                <w:b w:val="0"/>
              </w:rPr>
              <w:t>relationship has terminated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788" w:type="dxa"/>
          </w:tcPr>
          <w:p w:rsidR="00AF3240" w:rsidRPr="002B5718" w:rsidRDefault="00AF3240" w:rsidP="00BA2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See Comment [18] and MR 1.9</w:t>
            </w:r>
            <w:r w:rsidR="00055F5C">
              <w:rPr>
                <w:i/>
              </w:rPr>
              <w:t>(c)</w:t>
            </w:r>
            <w:r>
              <w:rPr>
                <w:i/>
              </w:rPr>
              <w:t>(2)</w:t>
            </w:r>
          </w:p>
        </w:tc>
      </w:tr>
      <w:tr w:rsidR="00AF3240" w:rsidRPr="002B5718" w:rsidTr="00BA2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240" w:rsidRPr="007B0ECC" w:rsidRDefault="00AF3240" w:rsidP="00BA2EB5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3240" w:rsidRPr="002B5718" w:rsidRDefault="00AF3240" w:rsidP="00BA2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8B2D3D" w:rsidRPr="008B2D3D" w:rsidRDefault="008B2D3D" w:rsidP="008B2D3D"/>
    <w:p w:rsidR="008B2D3D" w:rsidRPr="008B2D3D" w:rsidRDefault="008B2D3D" w:rsidP="008B2D3D"/>
    <w:p w:rsidR="008B2D3D" w:rsidRPr="008B2D3D" w:rsidRDefault="008B2D3D" w:rsidP="008B2D3D"/>
    <w:p w:rsidR="00934E47" w:rsidRPr="008B2D3D" w:rsidRDefault="00934E47" w:rsidP="008B2D3D"/>
    <w:sectPr w:rsidR="00934E47" w:rsidRPr="008B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29"/>
    <w:multiLevelType w:val="hybridMultilevel"/>
    <w:tmpl w:val="AD02D9F8"/>
    <w:lvl w:ilvl="0" w:tplc="EE860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B01F7"/>
    <w:multiLevelType w:val="hybridMultilevel"/>
    <w:tmpl w:val="B258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155"/>
    <w:multiLevelType w:val="hybridMultilevel"/>
    <w:tmpl w:val="06C0587E"/>
    <w:lvl w:ilvl="0" w:tplc="C7AA3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050F"/>
    <w:multiLevelType w:val="hybridMultilevel"/>
    <w:tmpl w:val="0F965396"/>
    <w:lvl w:ilvl="0" w:tplc="2E14FF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61AFA"/>
    <w:multiLevelType w:val="hybridMultilevel"/>
    <w:tmpl w:val="27847A14"/>
    <w:lvl w:ilvl="0" w:tplc="AE72D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18"/>
    <w:rsid w:val="00055F5C"/>
    <w:rsid w:val="000F28B8"/>
    <w:rsid w:val="00166124"/>
    <w:rsid w:val="002A3560"/>
    <w:rsid w:val="002B5718"/>
    <w:rsid w:val="002C2A7B"/>
    <w:rsid w:val="0035580F"/>
    <w:rsid w:val="003764A6"/>
    <w:rsid w:val="003D256E"/>
    <w:rsid w:val="003D60E9"/>
    <w:rsid w:val="00456AE9"/>
    <w:rsid w:val="004E067D"/>
    <w:rsid w:val="00546F1C"/>
    <w:rsid w:val="005E6019"/>
    <w:rsid w:val="00736218"/>
    <w:rsid w:val="00753D61"/>
    <w:rsid w:val="007B0ECC"/>
    <w:rsid w:val="007E1A06"/>
    <w:rsid w:val="0088576C"/>
    <w:rsid w:val="008B2D3D"/>
    <w:rsid w:val="00934E47"/>
    <w:rsid w:val="00A54A64"/>
    <w:rsid w:val="00AF3240"/>
    <w:rsid w:val="00C321B0"/>
    <w:rsid w:val="00C852B3"/>
    <w:rsid w:val="00EA1F28"/>
    <w:rsid w:val="00F70A27"/>
    <w:rsid w:val="00F852C4"/>
    <w:rsid w:val="00FE595F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362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3D25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D2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2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-Accent4">
    <w:name w:val="Light List Accent 4"/>
    <w:basedOn w:val="TableNormal"/>
    <w:uiPriority w:val="61"/>
    <w:rsid w:val="008B2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8B2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362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3D25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D2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2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-Accent4">
    <w:name w:val="Light List Accent 4"/>
    <w:basedOn w:val="TableNormal"/>
    <w:uiPriority w:val="61"/>
    <w:rsid w:val="008B2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8B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8405-480B-410A-8ED4-0EFA3630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Law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StephanieAStewart</dc:creator>
  <cp:keywords/>
  <dc:description/>
  <cp:lastModifiedBy>Clark Cunningham</cp:lastModifiedBy>
  <cp:revision>6</cp:revision>
  <cp:lastPrinted>2012-05-01T18:33:00Z</cp:lastPrinted>
  <dcterms:created xsi:type="dcterms:W3CDTF">2012-03-13T19:09:00Z</dcterms:created>
  <dcterms:modified xsi:type="dcterms:W3CDTF">2012-05-01T18:48:00Z</dcterms:modified>
</cp:coreProperties>
</file>