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1C" w:rsidRDefault="00CA7F1C" w:rsidP="00CA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1C" w:rsidRDefault="00CA7F1C" w:rsidP="00CA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1C" w:rsidRPr="00CF54CC" w:rsidRDefault="0041672D" w:rsidP="00CA7F1C">
      <w:pPr>
        <w:jc w:val="center"/>
        <w:rPr>
          <w:b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RULE 7.3  </w:t>
      </w:r>
      <w:bookmarkStart w:id="0" w:name="_GoBack"/>
      <w:bookmarkEnd w:id="0"/>
      <w:r w:rsidR="00CA7F1C" w:rsidRPr="00CF54CC">
        <w:rPr>
          <w:rFonts w:ascii="Times New Roman" w:hAnsi="Times New Roman"/>
          <w:b/>
          <w:bCs/>
          <w:color w:val="000000"/>
          <w:sz w:val="20"/>
          <w:szCs w:val="20"/>
        </w:rPr>
        <w:t>DIRECT CONTACT WITH PROSPECTIVE CLIENTS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CA7F1C" w:rsidRPr="00320104" w:rsidTr="007A1E8D">
        <w:tc>
          <w:tcPr>
            <w:tcW w:w="5418" w:type="dxa"/>
          </w:tcPr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GRPC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RULE 7.3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8" w:type="dxa"/>
          </w:tcPr>
          <w:p w:rsidR="00CA7F1C" w:rsidRPr="00CF54CC" w:rsidRDefault="00CA7F1C" w:rsidP="007A1E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ABA</w:t>
            </w:r>
            <w:r w:rsidRPr="0032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MODEL RULE 7.3: </w:t>
            </w:r>
          </w:p>
        </w:tc>
      </w:tr>
      <w:tr w:rsidR="00CA7F1C" w:rsidRPr="00320104" w:rsidTr="007A1E8D">
        <w:tc>
          <w:tcPr>
            <w:tcW w:w="5418" w:type="dxa"/>
          </w:tcPr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(a) A lawyer shall not send, or knowingly permit to be sent, on behalf of the lawyer, the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Lawyer’s firm, lawyer’s partner, associate, or any other lawyer affiliated with the lawyer or the lawyer’s firm, a </w:t>
            </w:r>
            <w:r w:rsidRPr="00CA7F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written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communication to a prospective client for the purpose of obtaining professional employment if: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(1) it has been made known to the lawyer that a person does not desire to receive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communications from the lawyer;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(2) the communication involves coercion, duress, fraud, overreaching, harassment,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intimidation or undue influence;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(3) the written communication concerns an action for personal injury or wrongful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death or otherwise relates to an accident or disaster involving the person to whom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the communication is addressed or a relative of that person, unless the accident or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disaster occurred more than 30 days prior to the mailing of the communication; or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(4) the lawyer knows or reasonably should know that the physical, emotional or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mental state of the person is such that the person could not exercise reasonable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judgment</w:t>
            </w:r>
            <w:proofErr w:type="gramEnd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in employing a lawyer.</w:t>
            </w:r>
          </w:p>
          <w:p w:rsidR="00CA7F1C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(b) </w:t>
            </w:r>
            <w:r w:rsidRPr="00B77F0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Written communications</w:t>
            </w:r>
            <w:r w:rsidRPr="00B77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to a prospective client, other than a close friend, relative, former client or one whom the lawyer reasonably believes is a former client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for the purpose of obtaining professional employment </w:t>
            </w:r>
            <w:r w:rsidRPr="003201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shall be plainly marked “Advertisement” </w:t>
            </w:r>
            <w:r w:rsidRPr="0032010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on the face of the envelope and on the top of each page of the written communication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in type size no smaller than the largest type size used in the body of the letter.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(c) A lawyer shall not compensate or give anything of value to a person or organization to recommend or secure the lawyer’s employment by a client, or as a reward for having made a recommendation resulting in the lawyer’s employment by a client; except that the lawyer may pay for public communications permitted by Rule 7.1 and except as follows: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(1) A lawyer may pay the usual and reasonable fees or dues charged by a bona fide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lawyer referral service operated by an organization authorized by law and qualified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to do business in this state; provided, however, such organization has filed with the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State Disciplinary Board, at least annually, a report showing its terms, its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subscription charges, agreements with counsel, the number of lawyers participating,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and the names and addresses of lawyers participating in the service;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(2) A lawyer may pay the usual and reasonable fees or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dues charged by a bar-operated non-profit lawyer referral service, including a fee which is calculated as a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percentage of the legal fees earned by the lawyer to whom the service has referred a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matter, provided such bar-operated non-profit lawyer referral service meets the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following criteria: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 the lawyer referral service shall be operated in the public interest for the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purpose of referring prospective clients to lawyers, pro bono and public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service</w:t>
            </w:r>
            <w:proofErr w:type="gramEnd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legal programs, and government, consumer or other agencies who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can provide the assistance the clients need. Such organization shall file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annually with the State Disciplinary Board a report showing its rules and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regulations, its subscription charges, agreements with counsel, the number of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lawyers participating and the names and addresses of the lawyers participating in the service;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(ii) the sponsoring bar association for the lawyer referral service must be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open to all lawyers licensed and eligible to practice in this state who maintain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an office within the geographical area served, and who meet reasonable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objectively determinable experience requirements established by the bar association;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(iii) The combined fees charged by a lawyer and the lawyer referral service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to a client referred by such service shall not exceed the total charges which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the client would have paid had no service been involved; and,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(iv) A lawyer who is a member of the qualified lawyer referral service must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maintain in force a policy of errors and omissions insurance in an amount no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less</w:t>
            </w:r>
            <w:proofErr w:type="gramEnd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than $100,000 per occurrence and $300,000 in the aggregate.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(3) A lawyer may pay the usual and reasonable fees to a qualified legal services plan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or insurer providing legal services insurance as authorized by law to promote the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use of the lawyer’s services, the lawyer’s partner or associates services so long as the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communications of the organization are not false, fraudulent, deceptive or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misleading;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(4) A lawyer may pay the usual and reasonable fees charged by a lay public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relations or marketing organization provided the activities of such organization on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behalf of the lawyer are otherwise in accordance with these Rules.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(5) A lawyer may pay for a law practice in accordance with </w:t>
            </w:r>
            <w:r w:rsidRPr="00320104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Rule 1.17: Sale of Law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Practice.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(d) </w:t>
            </w:r>
            <w:r w:rsidRPr="00B77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 lawyer </w:t>
            </w:r>
            <w:r w:rsidRPr="00B77F0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shall not solicit professional employment</w:t>
            </w:r>
            <w:r w:rsidRPr="00B77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as a private practitioner for the lawyer, a partner or associate </w:t>
            </w:r>
            <w:r w:rsidRPr="00B77F0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through direct personal contact</w:t>
            </w:r>
            <w:r w:rsidRPr="00B77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or through live telephone contact, with a non-lawyer who has not sought advice regarding employment of a lawyer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CA7F1C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(e) A lawyer shall not accept employment when the lawyer knows or it is obvious that the person who seeks to employ the lawyer does so as a result of conduct by any person or organization prohibited under Rules 7.3(c</w:t>
            </w:r>
            <w:proofErr w:type="gramStart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)(</w:t>
            </w:r>
            <w:proofErr w:type="gramEnd"/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1), 7.3(c)(2) or 7.3(d): </w:t>
            </w:r>
            <w:r w:rsidRPr="00320104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Direct Contact with</w:t>
            </w: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0104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Prospective Clients.</w:t>
            </w: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F1C" w:rsidRPr="00320104" w:rsidRDefault="00CA7F1C" w:rsidP="007A1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The maximum penalty for a violation of this Rule is disbarment.</w:t>
            </w:r>
          </w:p>
        </w:tc>
        <w:tc>
          <w:tcPr>
            <w:tcW w:w="4158" w:type="dxa"/>
          </w:tcPr>
          <w:p w:rsidR="00CA7F1C" w:rsidRPr="00CA7F1C" w:rsidRDefault="00CA7F1C" w:rsidP="00CA7F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F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Copied below next to GRPC 7.3(d)</w:t>
            </w:r>
            <w:r w:rsidRPr="00CA7F1C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  <w:p w:rsidR="00CA7F1C" w:rsidRPr="00320104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Pr="00320104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(b) A lawyer shall not solicit professional employment from a prospective client by written, recorded or electronic communication or by in-person, telephone or real-time electronic contact even when not otherwise prohibited by paragraph (a), if:</w:t>
            </w:r>
          </w:p>
          <w:p w:rsidR="00CA7F1C" w:rsidRPr="00320104" w:rsidRDefault="00CA7F1C" w:rsidP="007A1E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(1) the prospective client has made known to the lawyer a desire not to be solicited by the lawyer; or</w:t>
            </w:r>
          </w:p>
          <w:p w:rsidR="00CA7F1C" w:rsidRPr="00320104" w:rsidRDefault="00CA7F1C" w:rsidP="007A1E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gramStart"/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320104">
              <w:rPr>
                <w:rFonts w:ascii="Times New Roman" w:hAnsi="Times New Roman" w:cs="Times New Roman"/>
                <w:sz w:val="20"/>
                <w:szCs w:val="20"/>
              </w:rPr>
              <w:t xml:space="preserve"> solicitation involves coercion, duress or harassment.</w:t>
            </w: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Pr="00320104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Pr="00320104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 xml:space="preserve">(c) Every written, recorded or electronic communication from a lawyer soliciting professional employment from a prospective client known to be in need of legal services in a particular matter </w:t>
            </w:r>
            <w:r w:rsidRPr="00320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shall include the words "Advertising Material" </w:t>
            </w:r>
            <w:r w:rsidRPr="003201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 the outside envelope</w:t>
            </w: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, if any, and at the beginning and ending of any recorded or electronic communication, unless the recipient of the communication is a person specified in paragraphs (a</w:t>
            </w:r>
            <w:proofErr w:type="gramStart"/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1) or (a)(2).</w:t>
            </w: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Pr="00320104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Pr="00320104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(d) Notwithstanding the prohibitions in paragraph (a), a lawyer may participate with a prepaid or group legal service plan operated by an organization not owned or directed by the lawyer that uses in-person or telephone contact to solicit memberships or subscriptions for the plan from persons who are not known to need legal services in a particular matter covered by the plan.</w:t>
            </w: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Default="00CA7F1C" w:rsidP="00CA7F1C">
            <w:pPr>
              <w:rPr>
                <w:rFonts w:ascii="Times New Roman" w:hAnsi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w:r w:rsidRPr="00B7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lawyer shall not by </w:t>
            </w:r>
            <w:r w:rsidRPr="00B77F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in-person</w:t>
            </w:r>
            <w:r w:rsidRPr="00B77F03">
              <w:rPr>
                <w:rFonts w:ascii="Times New Roman" w:hAnsi="Times New Roman" w:cs="Times New Roman"/>
                <w:b/>
                <w:sz w:val="20"/>
                <w:szCs w:val="20"/>
              </w:rPr>
              <w:t>, live telephone or real-time electronic contact solicit professional</w:t>
            </w: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 xml:space="preserve"> employment from a prospective client </w:t>
            </w:r>
            <w:r w:rsidRPr="00B77F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when a significant motive for the lawyer's doing so is the lawyer's pecuniary gain</w:t>
            </w: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104">
              <w:rPr>
                <w:rFonts w:ascii="Times New Roman" w:hAnsi="Times New Roman" w:cs="Times New Roman"/>
                <w:b/>
                <w:sz w:val="20"/>
                <w:szCs w:val="20"/>
              </w:rPr>
              <w:t>unless the person contacted</w:t>
            </w: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7F1C" w:rsidRPr="00320104" w:rsidRDefault="00CA7F1C" w:rsidP="00CA7F1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>(1) is a lawyer; or</w:t>
            </w:r>
          </w:p>
          <w:p w:rsidR="00CA7F1C" w:rsidRPr="00320104" w:rsidRDefault="00CA7F1C" w:rsidP="00CA7F1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4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gramStart"/>
            <w:r w:rsidRPr="00320104">
              <w:rPr>
                <w:rFonts w:ascii="Times New Roman" w:hAnsi="Times New Roman" w:cs="Times New Roman"/>
                <w:b/>
                <w:sz w:val="20"/>
                <w:szCs w:val="20"/>
              </w:rPr>
              <w:t>has</w:t>
            </w:r>
            <w:proofErr w:type="gramEnd"/>
            <w:r w:rsidRPr="00320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family, close personal, or prior professional relationship with the lawyer.</w:t>
            </w:r>
          </w:p>
          <w:p w:rsidR="00CA7F1C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C" w:rsidRPr="00320104" w:rsidRDefault="00CA7F1C" w:rsidP="007A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F1C" w:rsidRPr="00081CCF" w:rsidRDefault="00CA7F1C" w:rsidP="00CA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08" w:rsidRDefault="008D6908"/>
    <w:sectPr w:rsidR="008D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007"/>
    <w:multiLevelType w:val="hybridMultilevel"/>
    <w:tmpl w:val="06368396"/>
    <w:lvl w:ilvl="0" w:tplc="FECA1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12"/>
    <w:multiLevelType w:val="hybridMultilevel"/>
    <w:tmpl w:val="C65AF550"/>
    <w:lvl w:ilvl="0" w:tplc="3B64D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1C"/>
    <w:rsid w:val="0041672D"/>
    <w:rsid w:val="008D6908"/>
    <w:rsid w:val="00C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F1C"/>
    <w:pPr>
      <w:spacing w:after="0" w:line="240" w:lineRule="auto"/>
    </w:pPr>
    <w:rPr>
      <w:kern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F1C"/>
    <w:pPr>
      <w:spacing w:after="0" w:line="240" w:lineRule="auto"/>
    </w:pPr>
    <w:rPr>
      <w:kern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1051</Words>
  <Characters>5992</Characters>
  <Application>Microsoft Office Word</Application>
  <DocSecurity>0</DocSecurity>
  <Lines>49</Lines>
  <Paragraphs>14</Paragraphs>
  <ScaleCrop>false</ScaleCrop>
  <Company>Georgia State University - College of Law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D Cunningham</dc:creator>
  <cp:keywords/>
  <dc:description/>
  <cp:lastModifiedBy>Clark D Cunningham</cp:lastModifiedBy>
  <cp:revision>2</cp:revision>
  <dcterms:created xsi:type="dcterms:W3CDTF">2013-09-12T22:48:00Z</dcterms:created>
  <dcterms:modified xsi:type="dcterms:W3CDTF">2013-09-12T22:55:00Z</dcterms:modified>
</cp:coreProperties>
</file>